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88" w:rsidRPr="001C4D98" w:rsidRDefault="00B86288" w:rsidP="00B8628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C4D98">
        <w:rPr>
          <w:rFonts w:asciiTheme="minorHAnsi" w:hAnsiTheme="minorHAnsi" w:cstheme="minorHAnsi"/>
          <w:b/>
          <w:sz w:val="24"/>
          <w:szCs w:val="24"/>
        </w:rPr>
        <w:t>Curriculum:</w:t>
      </w:r>
    </w:p>
    <w:p w:rsidR="00883FBC" w:rsidRPr="001C4D98" w:rsidRDefault="00883FBC" w:rsidP="00883FB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C4D98">
        <w:rPr>
          <w:rFonts w:asciiTheme="minorHAnsi" w:hAnsiTheme="minorHAnsi" w:cstheme="minorHAnsi"/>
          <w:sz w:val="24"/>
          <w:szCs w:val="24"/>
        </w:rPr>
        <w:t xml:space="preserve">*Of note </w:t>
      </w:r>
      <w:r w:rsidR="001C4D98" w:rsidRPr="001C4D98">
        <w:rPr>
          <w:rFonts w:asciiTheme="minorHAnsi" w:hAnsiTheme="minorHAnsi" w:cstheme="minorHAnsi"/>
          <w:sz w:val="24"/>
          <w:szCs w:val="24"/>
        </w:rPr>
        <w:t>case-based</w:t>
      </w:r>
      <w:r w:rsidRPr="001C4D98">
        <w:rPr>
          <w:rFonts w:asciiTheme="minorHAnsi" w:hAnsiTheme="minorHAnsi" w:cstheme="minorHAnsi"/>
          <w:sz w:val="24"/>
          <w:szCs w:val="24"/>
        </w:rPr>
        <w:t xml:space="preserve"> discussions will often highlight learning objectives that are part </w:t>
      </w:r>
      <w:r w:rsidR="001C4D98" w:rsidRPr="001C4D98">
        <w:rPr>
          <w:rFonts w:asciiTheme="minorHAnsi" w:hAnsiTheme="minorHAnsi" w:cstheme="minorHAnsi"/>
          <w:sz w:val="24"/>
          <w:szCs w:val="24"/>
        </w:rPr>
        <w:t>of the</w:t>
      </w:r>
      <w:r w:rsidRPr="001C4D98">
        <w:rPr>
          <w:rFonts w:asciiTheme="minorHAnsi" w:hAnsiTheme="minorHAnsi" w:cstheme="minorHAnsi"/>
          <w:sz w:val="24"/>
          <w:szCs w:val="24"/>
        </w:rPr>
        <w:t xml:space="preserve"> current session but may also re-enforce learning objectives from other sessions.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322"/>
        <w:gridCol w:w="1105"/>
        <w:gridCol w:w="2444"/>
        <w:gridCol w:w="2773"/>
        <w:gridCol w:w="6571"/>
      </w:tblGrid>
      <w:tr w:rsidR="00BB07C7" w:rsidRPr="001C4D98" w:rsidTr="00BB07C7">
        <w:trPr>
          <w:cantSplit/>
          <w:tblHeader/>
        </w:trPr>
        <w:tc>
          <w:tcPr>
            <w:tcW w:w="1326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>Session/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009" w:type="dxa"/>
          </w:tcPr>
          <w:p w:rsidR="00BB07C7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Cases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>Assigned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Didactic 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Tentative Speaker NCA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ind w:left="401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b/>
                <w:sz w:val="24"/>
                <w:szCs w:val="24"/>
              </w:rPr>
              <w:t>Learning Objectives: *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Nov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453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Medications Part 1: Use of Older Diabetes Medications with Focus on Cardiovascular and Renal Data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Nicole Ehrhardt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Endocrinology UW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1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Understand how to safely prescribe and use older diabetes medications such as DPP-4s.  This will include information on physiology and mechanism of action, efficacy, safety, tolerability, managing side effects, and dosing and administration of individual drugs.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1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Assess the cardiac and renal benefits or lack of cardiac benefits in these older medications. 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Nov 18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Medications Part 2: Use of Newer Diabetes Medications with Focus on Cardiovascular and Renal Data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Nicole Ehrhardt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Endocrinology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UW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Understand how to safely prescribe and use “newer” diabetes medications such as GLP-1RA and SGLT-2i. This will include information on physiology and mechanism of action, efficacy, safety, tolerability, managing side effects, and dosing and administration of individual 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Discuss oral diabetes medications that are uniquely positioned for primary care with emphasis on oral GLP-1RA and SGLT-2i class. 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Understand when to use a GLP-1 RA versus a SGLT-2i, DPP-4, and/or insulin in different clinical situations (ASCVD, CKD, HF, obesity, hypoglycemia)</w:t>
            </w:r>
          </w:p>
          <w:p w:rsidR="00BB07C7" w:rsidRPr="001C4D98" w:rsidRDefault="00BB07C7" w:rsidP="00E45A49">
            <w:p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Dec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Core Nutrition, Exercise Changes and Diabetes Medications for Weight Loss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Micheal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Knight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IM/Obesity specialist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19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Be able to optimize diabetes control with lifestyle and weight reduction techniques. </w:t>
            </w:r>
          </w:p>
          <w:p w:rsidR="00BB07C7" w:rsidRDefault="00BB07C7" w:rsidP="00E45A49">
            <w:pPr>
              <w:pStyle w:val="ListParagraph"/>
              <w:numPr>
                <w:ilvl w:val="0"/>
                <w:numId w:val="19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Understand which diabetes medications cause weight loss, weight gain or are weight neutral</w:t>
            </w:r>
          </w:p>
          <w:p w:rsidR="00BB07C7" w:rsidRPr="001C4D98" w:rsidRDefault="00BB07C7" w:rsidP="00BB07C7">
            <w:pPr>
              <w:pStyle w:val="ListParagraph"/>
              <w:ind w:left="40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Dec 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2020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BB07C7" w:rsidRDefault="00BB07C7" w:rsidP="00BB07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Initiating and Understanding Role/Place of Insulin in Type 2 Management</w:t>
            </w:r>
          </w:p>
          <w:p w:rsidR="00BB07C7" w:rsidRPr="001C4D98" w:rsidRDefault="00BB07C7" w:rsidP="00BB07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B07C7" w:rsidRDefault="00BB07C7" w:rsidP="006F46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Barbra Onumah</w:t>
            </w:r>
          </w:p>
          <w:p w:rsidR="00BB07C7" w:rsidRPr="001C4D98" w:rsidRDefault="00BB07C7" w:rsidP="006F46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Endo Medstar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16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Increase comfort in indications for insulin initiation and insulin management in appropriate population 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5: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Jan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BB07C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sz w:val="24"/>
                <w:szCs w:val="24"/>
              </w:rPr>
              <w:t>Diabetes in the time of COVID</w:t>
            </w:r>
          </w:p>
        </w:tc>
        <w:tc>
          <w:tcPr>
            <w:tcW w:w="2790" w:type="dxa"/>
          </w:tcPr>
          <w:p w:rsidR="00BB07C7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Irl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Hirsch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UW Diabetes Institute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2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Provide up-to-date evolving knowledge on benefit of diabetes medications in the time of COVID according to expert opinion in recent journal publications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2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Provide up-to-date evolving knowledge on ongoing clinical trials that pertain to diabetes and COVID</w:t>
            </w:r>
          </w:p>
          <w:p w:rsidR="00BB07C7" w:rsidRPr="001C4D98" w:rsidRDefault="00BB07C7" w:rsidP="00E45A49">
            <w:p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Session 6: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Jan 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and Depression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Dr. Zeina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Saliba</w:t>
            </w:r>
            <w:proofErr w:type="spellEnd"/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FM/Psychiatry 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24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Understand the link between depression and diabetes</w:t>
            </w:r>
          </w:p>
          <w:p w:rsidR="00BB07C7" w:rsidRPr="001C4D98" w:rsidRDefault="00BB07C7" w:rsidP="00E45A49">
            <w:pPr>
              <w:ind w:left="401" w:hanging="27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Jan 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Guideline Update</w:t>
            </w:r>
          </w:p>
        </w:tc>
        <w:tc>
          <w:tcPr>
            <w:tcW w:w="2790" w:type="dxa"/>
          </w:tcPr>
          <w:p w:rsidR="00BB07C7" w:rsidRPr="001C4D98" w:rsidRDefault="00BB07C7" w:rsidP="000D7FC8">
            <w:pPr>
              <w:pStyle w:val="NormalWeb"/>
              <w:rPr>
                <w:rFonts w:asciiTheme="minorHAnsi" w:hAnsiTheme="minorHAnsi" w:cstheme="minorHAnsi"/>
              </w:rPr>
            </w:pPr>
            <w:r w:rsidRPr="001C4D98">
              <w:rPr>
                <w:rFonts w:asciiTheme="minorHAnsi" w:hAnsiTheme="minorHAnsi" w:cstheme="minorHAnsi"/>
              </w:rPr>
              <w:t>Dr. Gail Nunlee-Bland</w:t>
            </w:r>
          </w:p>
          <w:p w:rsidR="00BB07C7" w:rsidRPr="001C4D98" w:rsidRDefault="00BB07C7" w:rsidP="001C4D98">
            <w:pPr>
              <w:pStyle w:val="NormalWeb"/>
              <w:rPr>
                <w:rFonts w:asciiTheme="minorHAnsi" w:hAnsiTheme="minorHAnsi" w:cstheme="minorHAnsi"/>
              </w:rPr>
            </w:pPr>
            <w:r w:rsidRPr="001C4D98">
              <w:rPr>
                <w:rFonts w:asciiTheme="minorHAnsi" w:hAnsiTheme="minorHAnsi" w:cstheme="minorHAnsi"/>
              </w:rPr>
              <w:t>Endocrinology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C4D98">
              <w:rPr>
                <w:rFonts w:asciiTheme="minorHAnsi" w:hAnsiTheme="minorHAnsi" w:cstheme="minorHAnsi"/>
              </w:rPr>
              <w:t>Howard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18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Teach evidence-based recommendations for diabetes management using the newest diabetes guidelines for diabetes medications (ADA, AACE, ACC, KDIGO guidelines).</w:t>
            </w:r>
          </w:p>
          <w:p w:rsidR="00BB07C7" w:rsidRPr="001C4D98" w:rsidRDefault="00BB07C7" w:rsidP="00E45A49">
            <w:p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Feb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Partnership, Cultural Sensitivity and Advocacy for Equality in DM Management</w:t>
            </w:r>
          </w:p>
        </w:tc>
        <w:tc>
          <w:tcPr>
            <w:tcW w:w="2790" w:type="dxa"/>
          </w:tcPr>
          <w:p w:rsidR="00BB07C7" w:rsidRDefault="00BB07C7" w:rsidP="000D7F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Dr. Maria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Belén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Menucci</w:t>
            </w:r>
            <w:proofErr w:type="spellEnd"/>
          </w:p>
          <w:p w:rsidR="00BB07C7" w:rsidRPr="001C4D98" w:rsidRDefault="00BB07C7" w:rsidP="000D7F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Endocrinology </w:t>
            </w:r>
          </w:p>
          <w:p w:rsidR="00BB07C7" w:rsidRPr="001C4D98" w:rsidRDefault="00BB07C7" w:rsidP="000D7F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Default="00BB07C7" w:rsidP="00E45A49">
            <w:pPr>
              <w:pStyle w:val="ListParagraph"/>
              <w:numPr>
                <w:ilvl w:val="0"/>
                <w:numId w:val="3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Understand clinician and patient related barriers to diabetes management (clinical inertia, compliance, shared-decision making)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3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Recognize the importance of patient engagement and “buy in” as part of the shared decision-making process in diabetes management. (HBA1c control, compliance, hypoglycemia, weight, side effects, CV and renal risk, technology and devices etc.) </w:t>
            </w:r>
          </w:p>
          <w:p w:rsidR="00BB07C7" w:rsidRPr="001C4D98" w:rsidRDefault="00BB07C7" w:rsidP="00E45A49">
            <w:pPr>
              <w:pStyle w:val="ListParagraph"/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Feb 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Motivational Tools for Diabetes and Remoting Monitoring: Glucose Meters and Continuous Glucose Monitoring Devices</w:t>
            </w:r>
          </w:p>
        </w:tc>
        <w:tc>
          <w:tcPr>
            <w:tcW w:w="2790" w:type="dxa"/>
          </w:tcPr>
          <w:p w:rsidR="00BB07C7" w:rsidRPr="001C4D98" w:rsidRDefault="00BB07C7" w:rsidP="001C4D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Tamara Swigert, 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CDE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29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Discuss and encourage the appropriate use of different diabetes technology and devices to aid in DM management. Examples include: continuous glucose monitoring, glucometer use, smart insulin pen devices etc.</w:t>
            </w:r>
          </w:p>
          <w:p w:rsidR="00BB07C7" w:rsidRPr="001C4D98" w:rsidRDefault="00BB07C7" w:rsidP="00E45A49">
            <w:pPr>
              <w:ind w:left="401" w:hanging="270"/>
              <w:rPr>
                <w:rFonts w:asciiTheme="minorHAnsi" w:hAnsiTheme="minorHAnsi" w:cstheme="minorHAnsi"/>
                <w:b/>
                <w:bCs/>
                <w:color w:val="403152"/>
                <w:sz w:val="24"/>
                <w:szCs w:val="24"/>
              </w:rPr>
            </w:pP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March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Diabetes and Heart Disease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Richard Katz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Cardiology </w:t>
            </w: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26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Increase awareness of the overlap of diabetes with disease states such as ASCVD, stroke, heart failure, CKD, and obesity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March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24 2021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Type 1 versus Type 2 Diabetes</w:t>
            </w:r>
          </w:p>
        </w:tc>
        <w:tc>
          <w:tcPr>
            <w:tcW w:w="2790" w:type="dxa"/>
          </w:tcPr>
          <w:p w:rsidR="00BB07C7" w:rsidRDefault="00BB07C7" w:rsidP="003C0B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Dr. </w:t>
            </w:r>
            <w:r w:rsidRPr="001C4D9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Belén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Menucci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C0BCE">
            <w:pPr>
              <w:rPr>
                <w:rFonts w:asciiTheme="minorHAnsi" w:hAnsiTheme="minorHAnsi" w:cstheme="minorHAnsi"/>
                <w:bCs/>
                <w:color w:val="403152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Endo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crinology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Pr="00D70F68" w:rsidRDefault="00BB07C7" w:rsidP="00D70F6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sz w:val="24"/>
                <w:szCs w:val="24"/>
              </w:rPr>
              <w:t>Understand how to assess for type 1 or type 2 DM</w:t>
            </w:r>
          </w:p>
          <w:p w:rsidR="00BB07C7" w:rsidRPr="00D70F68" w:rsidRDefault="00D70F68" w:rsidP="00D70F68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B07C7" w:rsidRPr="00D70F68">
              <w:rPr>
                <w:rFonts w:asciiTheme="minorHAnsi" w:hAnsiTheme="minorHAnsi" w:cstheme="minorHAnsi"/>
                <w:sz w:val="24"/>
                <w:szCs w:val="24"/>
              </w:rPr>
              <w:t>Understand that insulin sparing agent maybe indicated early in type 1 diabetes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April 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"Beyond glycemic control”: Use of Diabetes Medications for Cardiovascular and Renal Indications</w:t>
            </w:r>
          </w:p>
        </w:tc>
        <w:tc>
          <w:tcPr>
            <w:tcW w:w="2790" w:type="dxa"/>
          </w:tcPr>
          <w:p w:rsidR="00BB07C7" w:rsidRPr="001C4D98" w:rsidRDefault="00BB07C7" w:rsidP="001C4D98">
            <w:pPr>
              <w:pStyle w:val="NormalWeb"/>
              <w:rPr>
                <w:rFonts w:asciiTheme="minorHAnsi" w:hAnsiTheme="minorHAnsi" w:cstheme="minorHAnsi"/>
              </w:rPr>
            </w:pPr>
            <w:r w:rsidRPr="001C4D98">
              <w:rPr>
                <w:rFonts w:asciiTheme="minorHAnsi" w:hAnsiTheme="minorHAnsi" w:cstheme="minorHAnsi"/>
              </w:rPr>
              <w:t>Dr. Gail Nunlee-Bland, Endocrinology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C4D98">
              <w:rPr>
                <w:rFonts w:asciiTheme="minorHAnsi" w:hAnsiTheme="minorHAnsi" w:cstheme="minorHAnsi"/>
              </w:rPr>
              <w:t>Howard</w:t>
            </w:r>
          </w:p>
          <w:p w:rsidR="00BB07C7" w:rsidRPr="001C4D98" w:rsidRDefault="00BB07C7" w:rsidP="003C0BC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Pr="001C4D98" w:rsidRDefault="00BB07C7" w:rsidP="00E45A49">
            <w:pPr>
              <w:pStyle w:val="ListParagraph"/>
              <w:numPr>
                <w:ilvl w:val="0"/>
                <w:numId w:val="28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Enhance knowledge on use of SGLT-2i and GLP-1RA for cardiac (ASCVD, HF) and renal (CKD, albuminuria) indications “beyond” glycemic management in appropriate populations.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April 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Retinopathy/Eye Disease: Primary Care “Pearls”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Marena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Patronas</w:t>
            </w:r>
            <w:proofErr w:type="spellEnd"/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Ophthalmology</w:t>
            </w:r>
          </w:p>
          <w:p w:rsidR="00BB07C7" w:rsidRPr="001C4D98" w:rsidRDefault="00BB07C7" w:rsidP="005159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  <w:vAlign w:val="center"/>
          </w:tcPr>
          <w:p w:rsidR="00BB07C7" w:rsidRPr="00D70F68" w:rsidRDefault="00BB07C7" w:rsidP="004506A8">
            <w:pPr>
              <w:pStyle w:val="ListParagraph"/>
              <w:numPr>
                <w:ilvl w:val="0"/>
                <w:numId w:val="3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sz w:val="24"/>
                <w:szCs w:val="24"/>
              </w:rPr>
              <w:t>Recognize red flags for need for specialty     referral in order to minimize complications from diabetes especially in the time of COVID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31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Clinical pearls for eye disease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May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Hypertension: Beyond the ACE and ARB in Diabetes and the time of COVID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Susie Lew</w:t>
            </w:r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Nephrology </w:t>
            </w:r>
          </w:p>
        </w:tc>
        <w:tc>
          <w:tcPr>
            <w:tcW w:w="6637" w:type="dxa"/>
          </w:tcPr>
          <w:p w:rsidR="00BB07C7" w:rsidRPr="00D70F68" w:rsidRDefault="00BB07C7" w:rsidP="00F27759">
            <w:pPr>
              <w:pStyle w:val="ListParagraph"/>
              <w:numPr>
                <w:ilvl w:val="0"/>
                <w:numId w:val="27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sz w:val="24"/>
                <w:szCs w:val="24"/>
              </w:rPr>
              <w:t xml:space="preserve">Enhance HTN management 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27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Provide up-to-date evolving knowledge on ongoing clinical trials that pertain to COVID, diabetes, and HTN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May 19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Podiatry: </w:t>
            </w:r>
          </w:p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"Clinical Pearls" in Diabetes</w:t>
            </w:r>
          </w:p>
        </w:tc>
        <w:tc>
          <w:tcPr>
            <w:tcW w:w="2790" w:type="dxa"/>
          </w:tcPr>
          <w:p w:rsidR="00BB07C7" w:rsidRPr="001C4D98" w:rsidRDefault="00BB07C7" w:rsidP="001C4D98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Dr.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Micheal</w:t>
            </w:r>
            <w:proofErr w:type="spellEnd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Stempel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Podiatry </w:t>
            </w:r>
          </w:p>
        </w:tc>
        <w:tc>
          <w:tcPr>
            <w:tcW w:w="6637" w:type="dxa"/>
          </w:tcPr>
          <w:p w:rsidR="00BB07C7" w:rsidRPr="00D70F68" w:rsidRDefault="00BB07C7" w:rsidP="00370D18">
            <w:pPr>
              <w:pStyle w:val="ListParagraph"/>
              <w:numPr>
                <w:ilvl w:val="0"/>
                <w:numId w:val="22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sz w:val="24"/>
                <w:szCs w:val="24"/>
              </w:rPr>
              <w:t>Recognize red flags for need for specialty referral in order to minimize complications from diabetes especially in the time of COVID</w:t>
            </w:r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22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Clinical pearls for diabetes foot care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Session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07C7" w:rsidRPr="001C4D98" w:rsidRDefault="00BB07C7" w:rsidP="003F47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June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Medications to Combat Insulin Resistance in Antipsychotics and HIV Medications</w:t>
            </w:r>
          </w:p>
        </w:tc>
        <w:tc>
          <w:tcPr>
            <w:tcW w:w="2790" w:type="dxa"/>
          </w:tcPr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Dr. Nicole Ehrhardt</w:t>
            </w:r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Endocrinology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UW</w:t>
            </w:r>
          </w:p>
          <w:p w:rsidR="00BB07C7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Dr. Zeina </w:t>
            </w:r>
            <w:proofErr w:type="spellStart"/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Saliba</w:t>
            </w:r>
            <w:proofErr w:type="spellEnd"/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FM/Psychiatry </w:t>
            </w:r>
          </w:p>
          <w:p w:rsidR="00BB07C7" w:rsidRPr="001C4D98" w:rsidRDefault="00BB07C7" w:rsidP="005159F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</w:tcPr>
          <w:p w:rsidR="00BB07C7" w:rsidRPr="001C4D98" w:rsidRDefault="00BB07C7" w:rsidP="00D70F68">
            <w:pPr>
              <w:pStyle w:val="ListParagraph"/>
              <w:numPr>
                <w:ilvl w:val="0"/>
                <w:numId w:val="6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 xml:space="preserve">Recognize medications that increase insulin resistance. Discuss early use of GLP-1RA + metformin at diagnosis to decrease insulin resistance and decrease incidence of the metabolic syndrome.  </w:t>
            </w:r>
          </w:p>
        </w:tc>
      </w:tr>
      <w:tr w:rsidR="00BB07C7" w:rsidRPr="001C4D98" w:rsidTr="00BB07C7">
        <w:trPr>
          <w:cantSplit/>
        </w:trPr>
        <w:tc>
          <w:tcPr>
            <w:tcW w:w="1326" w:type="dxa"/>
          </w:tcPr>
          <w:p w:rsidR="00BB07C7" w:rsidRPr="001C4D98" w:rsidRDefault="00BB07C7" w:rsidP="003F47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*17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Targeted for Support Staff/RN</w:t>
            </w:r>
          </w:p>
        </w:tc>
        <w:tc>
          <w:tcPr>
            <w:tcW w:w="1009" w:type="dxa"/>
          </w:tcPr>
          <w:p w:rsidR="00BB07C7" w:rsidRPr="001C4D98" w:rsidRDefault="00BB07C7" w:rsidP="005159FA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None</w:t>
            </w:r>
          </w:p>
        </w:tc>
        <w:tc>
          <w:tcPr>
            <w:tcW w:w="2453" w:type="dxa"/>
          </w:tcPr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How to Support Diabetes Medication Prior Authorizations and Set-up Continuous Glucose Monitoring in your Clinic</w:t>
            </w:r>
          </w:p>
          <w:p w:rsidR="00BB07C7" w:rsidRPr="001C4D98" w:rsidRDefault="00BB07C7" w:rsidP="00610690">
            <w:pPr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1C4D98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(no CME credit)</w:t>
            </w:r>
          </w:p>
        </w:tc>
        <w:tc>
          <w:tcPr>
            <w:tcW w:w="2790" w:type="dxa"/>
          </w:tcPr>
          <w:p w:rsidR="00BB07C7" w:rsidRPr="001C4D98" w:rsidRDefault="00BB07C7" w:rsidP="003F474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Tamara Swigert, 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CDE</w:t>
            </w:r>
          </w:p>
        </w:tc>
        <w:tc>
          <w:tcPr>
            <w:tcW w:w="6637" w:type="dxa"/>
          </w:tcPr>
          <w:p w:rsidR="00BB07C7" w:rsidRPr="00D70F68" w:rsidRDefault="00BB07C7" w:rsidP="00576F76">
            <w:pPr>
              <w:pStyle w:val="ListParagraph"/>
              <w:numPr>
                <w:ilvl w:val="0"/>
                <w:numId w:val="7"/>
              </w:numPr>
              <w:ind w:left="401" w:hanging="270"/>
              <w:rPr>
                <w:rFonts w:asciiTheme="minorHAnsi" w:hAnsiTheme="minorHAnsi" w:cstheme="minorHAnsi"/>
                <w:bCs/>
                <w:color w:val="403152"/>
                <w:sz w:val="24"/>
                <w:szCs w:val="24"/>
              </w:rPr>
            </w:pPr>
            <w:r w:rsidRPr="00D70F68">
              <w:rPr>
                <w:rFonts w:asciiTheme="minorHAnsi" w:hAnsiTheme="minorHAnsi" w:cstheme="minorHAnsi"/>
                <w:bCs/>
                <w:color w:val="403152"/>
                <w:sz w:val="24"/>
                <w:szCs w:val="24"/>
              </w:rPr>
              <w:t>Ensure support staff understand how to aid in pre-authorizations for medications and CGM use and billing</w:t>
            </w:r>
            <w:bookmarkStart w:id="0" w:name="_GoBack"/>
            <w:bookmarkEnd w:id="0"/>
          </w:p>
          <w:p w:rsidR="00BB07C7" w:rsidRPr="001C4D98" w:rsidRDefault="00BB07C7" w:rsidP="00E45A49">
            <w:pPr>
              <w:pStyle w:val="ListParagraph"/>
              <w:numPr>
                <w:ilvl w:val="0"/>
                <w:numId w:val="7"/>
              </w:numPr>
              <w:ind w:left="401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1C4D98">
              <w:rPr>
                <w:rFonts w:asciiTheme="minorHAnsi" w:hAnsiTheme="minorHAnsi" w:cstheme="minorHAnsi"/>
                <w:sz w:val="24"/>
                <w:szCs w:val="24"/>
              </w:rPr>
              <w:t>Discuss how to read a diabetes formulary and give tips on navigation of the prior authorization process</w:t>
            </w:r>
          </w:p>
          <w:p w:rsidR="00BB07C7" w:rsidRPr="001C4D98" w:rsidRDefault="00BB07C7" w:rsidP="00E45A49">
            <w:pPr>
              <w:pStyle w:val="ListParagraph"/>
              <w:ind w:left="401" w:hanging="270"/>
              <w:rPr>
                <w:rFonts w:asciiTheme="minorHAnsi" w:hAnsiTheme="minorHAnsi" w:cstheme="minorHAnsi"/>
                <w:bCs/>
                <w:color w:val="403152"/>
                <w:sz w:val="24"/>
                <w:szCs w:val="24"/>
              </w:rPr>
            </w:pPr>
          </w:p>
        </w:tc>
      </w:tr>
    </w:tbl>
    <w:p w:rsidR="00B86288" w:rsidRPr="001C4D98" w:rsidRDefault="00B86288" w:rsidP="00B8628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45EAF" w:rsidRPr="001C4D98" w:rsidRDefault="00E10B56" w:rsidP="006E3BF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4D98">
        <w:rPr>
          <w:rFonts w:asciiTheme="minorHAnsi" w:hAnsiTheme="minorHAnsi" w:cstheme="minorHAnsi"/>
          <w:b/>
          <w:sz w:val="24"/>
          <w:szCs w:val="24"/>
        </w:rPr>
        <w:t xml:space="preserve">*Of note </w:t>
      </w:r>
      <w:r w:rsidR="003F4746" w:rsidRPr="001C4D98">
        <w:rPr>
          <w:rFonts w:asciiTheme="minorHAnsi" w:hAnsiTheme="minorHAnsi" w:cstheme="minorHAnsi"/>
          <w:b/>
          <w:sz w:val="24"/>
          <w:szCs w:val="24"/>
        </w:rPr>
        <w:t>case-based</w:t>
      </w:r>
      <w:r w:rsidRPr="001C4D98">
        <w:rPr>
          <w:rFonts w:asciiTheme="minorHAnsi" w:hAnsiTheme="minorHAnsi" w:cstheme="minorHAnsi"/>
          <w:b/>
          <w:sz w:val="24"/>
          <w:szCs w:val="24"/>
        </w:rPr>
        <w:t xml:space="preserve"> discussions will often highlight learning objectives that are part </w:t>
      </w:r>
      <w:r w:rsidR="003F4746" w:rsidRPr="001C4D98">
        <w:rPr>
          <w:rFonts w:asciiTheme="minorHAnsi" w:hAnsiTheme="minorHAnsi" w:cstheme="minorHAnsi"/>
          <w:b/>
          <w:sz w:val="24"/>
          <w:szCs w:val="24"/>
        </w:rPr>
        <w:t>of the</w:t>
      </w:r>
      <w:r w:rsidR="005C775D" w:rsidRPr="001C4D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C4D98">
        <w:rPr>
          <w:rFonts w:asciiTheme="minorHAnsi" w:hAnsiTheme="minorHAnsi" w:cstheme="minorHAnsi"/>
          <w:b/>
          <w:sz w:val="24"/>
          <w:szCs w:val="24"/>
        </w:rPr>
        <w:t>current session but may also re-enforce learning objectives</w:t>
      </w:r>
      <w:r w:rsidR="00AE6D78" w:rsidRPr="001C4D98">
        <w:rPr>
          <w:rFonts w:asciiTheme="minorHAnsi" w:hAnsiTheme="minorHAnsi" w:cstheme="minorHAnsi"/>
          <w:b/>
          <w:sz w:val="24"/>
          <w:szCs w:val="24"/>
        </w:rPr>
        <w:t xml:space="preserve"> from other sessions.</w:t>
      </w:r>
    </w:p>
    <w:p w:rsidR="006E3BF7" w:rsidRPr="00E10B56" w:rsidRDefault="006E3BF7" w:rsidP="00E10B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3BF7" w:rsidRPr="00E10B56" w:rsidSect="001C4D9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AF" w:rsidRDefault="00F45EAF" w:rsidP="00F45EAF">
      <w:pPr>
        <w:spacing w:line="240" w:lineRule="auto"/>
      </w:pPr>
      <w:r>
        <w:separator/>
      </w:r>
    </w:p>
  </w:endnote>
  <w:endnote w:type="continuationSeparator" w:id="0">
    <w:p w:rsidR="00F45EAF" w:rsidRDefault="00F45EAF" w:rsidP="00F4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AF" w:rsidRDefault="00F45EAF" w:rsidP="00F45EAF">
      <w:pPr>
        <w:spacing w:line="240" w:lineRule="auto"/>
      </w:pPr>
      <w:r>
        <w:separator/>
      </w:r>
    </w:p>
  </w:footnote>
  <w:footnote w:type="continuationSeparator" w:id="0">
    <w:p w:rsidR="00F45EAF" w:rsidRDefault="00F45EAF" w:rsidP="00F4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AF" w:rsidRDefault="000F192C" w:rsidP="000F192C">
    <w:pPr>
      <w:pStyle w:val="Header"/>
    </w:pPr>
    <w:r>
      <w:rPr>
        <w:noProof/>
        <w:lang w:val="en-US"/>
      </w:rPr>
      <w:drawing>
        <wp:inline distT="0" distB="0" distL="0" distR="0" wp14:anchorId="36BA31DC" wp14:editId="20178CC8">
          <wp:extent cx="944245" cy="126365"/>
          <wp:effectExtent l="0" t="0" r="825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                            </w:t>
    </w:r>
    <w:r w:rsidR="006940F5">
      <w:rPr>
        <w:noProof/>
        <w:lang w:val="en-US"/>
      </w:rPr>
      <w:t xml:space="preserve">                                                                 </w:t>
    </w:r>
    <w:r>
      <w:rPr>
        <w:noProof/>
        <w:lang w:val="en-US"/>
      </w:rPr>
      <w:t xml:space="preserve">        </w:t>
    </w:r>
    <w:r w:rsidR="00F45EAF">
      <w:rPr>
        <w:noProof/>
        <w:lang w:val="en-US"/>
      </w:rPr>
      <w:drawing>
        <wp:inline distT="0" distB="0" distL="0" distR="0" wp14:anchorId="42808F8D" wp14:editId="590FE538">
          <wp:extent cx="833362" cy="549520"/>
          <wp:effectExtent l="0" t="0" r="508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houniversity of washingt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868" cy="55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EAF">
      <w:t xml:space="preserve">                           </w:t>
    </w:r>
  </w:p>
  <w:p w:rsidR="00F45EAF" w:rsidRDefault="00F4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8F3"/>
    <w:multiLevelType w:val="hybridMultilevel"/>
    <w:tmpl w:val="068A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E9E"/>
    <w:multiLevelType w:val="hybridMultilevel"/>
    <w:tmpl w:val="4E6A8772"/>
    <w:lvl w:ilvl="0" w:tplc="452887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3E92279"/>
    <w:multiLevelType w:val="hybridMultilevel"/>
    <w:tmpl w:val="ACA26E56"/>
    <w:lvl w:ilvl="0" w:tplc="C78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64B0B3C"/>
    <w:multiLevelType w:val="hybridMultilevel"/>
    <w:tmpl w:val="F252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38C"/>
    <w:multiLevelType w:val="hybridMultilevel"/>
    <w:tmpl w:val="EF36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217"/>
    <w:multiLevelType w:val="hybridMultilevel"/>
    <w:tmpl w:val="B2C22A2A"/>
    <w:lvl w:ilvl="0" w:tplc="C78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D06F8C"/>
    <w:multiLevelType w:val="hybridMultilevel"/>
    <w:tmpl w:val="8B8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3015"/>
    <w:multiLevelType w:val="hybridMultilevel"/>
    <w:tmpl w:val="D214E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77B"/>
    <w:multiLevelType w:val="hybridMultilevel"/>
    <w:tmpl w:val="987AF316"/>
    <w:lvl w:ilvl="0" w:tplc="0520FF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3897913"/>
    <w:multiLevelType w:val="hybridMultilevel"/>
    <w:tmpl w:val="90E2C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86A94"/>
    <w:multiLevelType w:val="hybridMultilevel"/>
    <w:tmpl w:val="1E4C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53C39"/>
    <w:multiLevelType w:val="hybridMultilevel"/>
    <w:tmpl w:val="DBB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2C9F"/>
    <w:multiLevelType w:val="hybridMultilevel"/>
    <w:tmpl w:val="E75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750A"/>
    <w:multiLevelType w:val="hybridMultilevel"/>
    <w:tmpl w:val="B358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55D38"/>
    <w:multiLevelType w:val="hybridMultilevel"/>
    <w:tmpl w:val="DC8C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3A8"/>
    <w:multiLevelType w:val="hybridMultilevel"/>
    <w:tmpl w:val="C910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D16F1"/>
    <w:multiLevelType w:val="hybridMultilevel"/>
    <w:tmpl w:val="65608A42"/>
    <w:lvl w:ilvl="0" w:tplc="C78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45A6F00"/>
    <w:multiLevelType w:val="hybridMultilevel"/>
    <w:tmpl w:val="C5CA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5574F"/>
    <w:multiLevelType w:val="hybridMultilevel"/>
    <w:tmpl w:val="D882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444D5"/>
    <w:multiLevelType w:val="hybridMultilevel"/>
    <w:tmpl w:val="26923B02"/>
    <w:lvl w:ilvl="0" w:tplc="74A07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0735B"/>
    <w:multiLevelType w:val="hybridMultilevel"/>
    <w:tmpl w:val="2A3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3414"/>
    <w:multiLevelType w:val="hybridMultilevel"/>
    <w:tmpl w:val="73CE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7774B"/>
    <w:multiLevelType w:val="hybridMultilevel"/>
    <w:tmpl w:val="92AA2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29FC"/>
    <w:multiLevelType w:val="hybridMultilevel"/>
    <w:tmpl w:val="8A36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72D0C"/>
    <w:multiLevelType w:val="hybridMultilevel"/>
    <w:tmpl w:val="4D4A6BEE"/>
    <w:lvl w:ilvl="0" w:tplc="C78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A46243"/>
    <w:multiLevelType w:val="hybridMultilevel"/>
    <w:tmpl w:val="78CC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0108"/>
    <w:multiLevelType w:val="hybridMultilevel"/>
    <w:tmpl w:val="D0D2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00FA"/>
    <w:multiLevelType w:val="hybridMultilevel"/>
    <w:tmpl w:val="600053B4"/>
    <w:lvl w:ilvl="0" w:tplc="C78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94D6363"/>
    <w:multiLevelType w:val="hybridMultilevel"/>
    <w:tmpl w:val="90A8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14ACB"/>
    <w:multiLevelType w:val="hybridMultilevel"/>
    <w:tmpl w:val="C09E0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167E3"/>
    <w:multiLevelType w:val="hybridMultilevel"/>
    <w:tmpl w:val="4AEC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34A9"/>
    <w:multiLevelType w:val="hybridMultilevel"/>
    <w:tmpl w:val="8772B23A"/>
    <w:lvl w:ilvl="0" w:tplc="BDD66A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1"/>
  </w:num>
  <w:num w:numId="5">
    <w:abstractNumId w:val="16"/>
  </w:num>
  <w:num w:numId="6">
    <w:abstractNumId w:val="25"/>
  </w:num>
  <w:num w:numId="7">
    <w:abstractNumId w:val="0"/>
  </w:num>
  <w:num w:numId="8">
    <w:abstractNumId w:val="2"/>
  </w:num>
  <w:num w:numId="9">
    <w:abstractNumId w:val="11"/>
  </w:num>
  <w:num w:numId="10">
    <w:abstractNumId w:val="19"/>
  </w:num>
  <w:num w:numId="11">
    <w:abstractNumId w:val="27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  <w:num w:numId="16">
    <w:abstractNumId w:val="26"/>
  </w:num>
  <w:num w:numId="17">
    <w:abstractNumId w:val="4"/>
  </w:num>
  <w:num w:numId="18">
    <w:abstractNumId w:val="20"/>
  </w:num>
  <w:num w:numId="19">
    <w:abstractNumId w:val="17"/>
  </w:num>
  <w:num w:numId="20">
    <w:abstractNumId w:val="5"/>
  </w:num>
  <w:num w:numId="21">
    <w:abstractNumId w:val="23"/>
  </w:num>
  <w:num w:numId="22">
    <w:abstractNumId w:val="30"/>
  </w:num>
  <w:num w:numId="23">
    <w:abstractNumId w:val="21"/>
  </w:num>
  <w:num w:numId="24">
    <w:abstractNumId w:val="28"/>
  </w:num>
  <w:num w:numId="25">
    <w:abstractNumId w:val="18"/>
  </w:num>
  <w:num w:numId="26">
    <w:abstractNumId w:val="8"/>
  </w:num>
  <w:num w:numId="27">
    <w:abstractNumId w:val="3"/>
  </w:num>
  <w:num w:numId="28">
    <w:abstractNumId w:val="12"/>
  </w:num>
  <w:num w:numId="29">
    <w:abstractNumId w:val="9"/>
  </w:num>
  <w:num w:numId="30">
    <w:abstractNumId w:val="1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F7"/>
    <w:rsid w:val="000D7FC8"/>
    <w:rsid w:val="000F192C"/>
    <w:rsid w:val="00173AD0"/>
    <w:rsid w:val="001C4D98"/>
    <w:rsid w:val="0021181D"/>
    <w:rsid w:val="002C0CBD"/>
    <w:rsid w:val="00377C5F"/>
    <w:rsid w:val="003C0BCE"/>
    <w:rsid w:val="003F4746"/>
    <w:rsid w:val="004C5780"/>
    <w:rsid w:val="005B6FDB"/>
    <w:rsid w:val="005C775D"/>
    <w:rsid w:val="00610690"/>
    <w:rsid w:val="00617AB5"/>
    <w:rsid w:val="006940F5"/>
    <w:rsid w:val="006E3BF7"/>
    <w:rsid w:val="006F4654"/>
    <w:rsid w:val="00883FBC"/>
    <w:rsid w:val="00991EE2"/>
    <w:rsid w:val="00AE6D78"/>
    <w:rsid w:val="00B86288"/>
    <w:rsid w:val="00BB07C7"/>
    <w:rsid w:val="00BC2E9C"/>
    <w:rsid w:val="00C62568"/>
    <w:rsid w:val="00CB6719"/>
    <w:rsid w:val="00CB6D97"/>
    <w:rsid w:val="00CC53B6"/>
    <w:rsid w:val="00D70F68"/>
    <w:rsid w:val="00E10B56"/>
    <w:rsid w:val="00E45A49"/>
    <w:rsid w:val="00E876E4"/>
    <w:rsid w:val="00EC197B"/>
    <w:rsid w:val="00F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C8EA68"/>
  <w15:docId w15:val="{814ADAB5-3429-43E1-B499-DDDA1B6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E3BF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EA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45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EAF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EAF"/>
    <w:rPr>
      <w:rFonts w:ascii="Tahoma" w:eastAsia="Arial" w:hAnsi="Tahoma" w:cs="Tahoma"/>
      <w:sz w:val="16"/>
      <w:szCs w:val="16"/>
      <w:lang w:val="en"/>
    </w:rPr>
  </w:style>
  <w:style w:type="table" w:styleId="TableGrid">
    <w:name w:val="Table Grid"/>
    <w:basedOn w:val="TableNormal"/>
    <w:uiPriority w:val="39"/>
    <w:unhideWhenUsed/>
    <w:rsid w:val="00B86288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6D97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Ehrhardt, Nicole M</dc:creator>
  <cp:lastModifiedBy>Kyla B. Tyler</cp:lastModifiedBy>
  <cp:revision>4</cp:revision>
  <dcterms:created xsi:type="dcterms:W3CDTF">2020-10-16T19:14:00Z</dcterms:created>
  <dcterms:modified xsi:type="dcterms:W3CDTF">2020-10-16T19:21:00Z</dcterms:modified>
</cp:coreProperties>
</file>